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ind w:right="1080"/>
        <w:contextualSpacing/>
        <w:jc w:val="left"/>
        <w:rPr>
          <w:rFonts w:ascii="宋体" w:hAnsi="宋体" w:cs="Times New Roman"/>
          <w:sz w:val="28"/>
          <w:szCs w:val="28"/>
        </w:rPr>
      </w:pPr>
      <w:r>
        <w:rPr>
          <w:rFonts w:hint="eastAsia" w:ascii="宋体" w:hAnsi="宋体" w:cs="Times New Roman"/>
          <w:sz w:val="28"/>
          <w:szCs w:val="28"/>
        </w:rPr>
        <w:t>附件</w:t>
      </w:r>
      <w:r>
        <w:rPr>
          <w:rFonts w:hint="eastAsia" w:ascii="宋体" w:hAnsi="宋体" w:cs="Times New Roman"/>
          <w:sz w:val="28"/>
          <w:szCs w:val="28"/>
          <w:lang w:val="en-US" w:eastAsia="zh-CN"/>
        </w:rPr>
        <w:t>1</w:t>
      </w:r>
      <w:bookmarkStart w:id="0" w:name="_GoBack"/>
      <w:bookmarkEnd w:id="0"/>
      <w:r>
        <w:rPr>
          <w:rFonts w:hint="eastAsia" w:ascii="宋体" w:hAnsi="宋体" w:cs="Times New Roman"/>
          <w:sz w:val="28"/>
          <w:szCs w:val="28"/>
        </w:rPr>
        <w:t>：</w:t>
      </w:r>
    </w:p>
    <w:p>
      <w:pPr>
        <w:adjustRightInd w:val="0"/>
        <w:spacing w:line="560" w:lineRule="exact"/>
        <w:contextualSpacing/>
        <w:jc w:val="center"/>
        <w:rPr>
          <w:rFonts w:ascii="方正小标宋简体" w:hAnsi="方正小标宋简体" w:eastAsia="方正小标宋简体" w:cs="Times New Roman"/>
          <w:sz w:val="32"/>
          <w:szCs w:val="32"/>
        </w:rPr>
      </w:pPr>
      <w:r>
        <w:rPr>
          <w:rFonts w:hint="eastAsia" w:ascii="方正小标宋简体" w:hAnsi="方正小标宋简体" w:eastAsia="方正小标宋简体" w:cs="Times New Roman"/>
          <w:sz w:val="32"/>
          <w:szCs w:val="32"/>
        </w:rPr>
        <w:t>吉林省净发创新投资集团及子公司面向社会公开招聘劳务派遣人员岗位一览表</w:t>
      </w:r>
    </w:p>
    <w:p>
      <w:pPr>
        <w:adjustRightInd w:val="0"/>
        <w:contextualSpacing/>
        <w:jc w:val="center"/>
        <w:rPr>
          <w:rFonts w:ascii="楷体" w:hAnsi="楷体" w:eastAsia="楷体"/>
          <w:b/>
          <w:bCs/>
          <w:sz w:val="32"/>
          <w:szCs w:val="32"/>
        </w:rPr>
      </w:pPr>
      <w:r>
        <w:rPr>
          <w:rFonts w:hint="eastAsia" w:ascii="楷体" w:hAnsi="楷体" w:eastAsia="楷体" w:cs="Times New Roman"/>
          <w:sz w:val="32"/>
          <w:szCs w:val="32"/>
        </w:rPr>
        <w:t>（2023年第六批次）</w:t>
      </w:r>
    </w:p>
    <w:tbl>
      <w:tblPr>
        <w:tblStyle w:val="8"/>
        <w:tblW w:w="14014" w:type="dxa"/>
        <w:tblInd w:w="4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701"/>
        <w:gridCol w:w="1465"/>
        <w:gridCol w:w="1228"/>
        <w:gridCol w:w="1276"/>
        <w:gridCol w:w="1275"/>
        <w:gridCol w:w="1303"/>
        <w:gridCol w:w="5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Align w:val="center"/>
          </w:tcPr>
          <w:p>
            <w:pPr>
              <w:adjustRightInd w:val="0"/>
              <w:spacing w:line="360" w:lineRule="auto"/>
              <w:contextualSpacing/>
              <w:jc w:val="center"/>
              <w:rPr>
                <w:rFonts w:ascii="宋体" w:hAnsi="宋体"/>
                <w:b/>
                <w:kern w:val="0"/>
                <w:sz w:val="24"/>
                <w:szCs w:val="24"/>
              </w:rPr>
            </w:pPr>
            <w:r>
              <w:rPr>
                <w:rFonts w:hint="eastAsia" w:ascii="宋体" w:hAnsi="宋体"/>
                <w:b/>
                <w:kern w:val="0"/>
                <w:sz w:val="24"/>
                <w:szCs w:val="24"/>
              </w:rPr>
              <w:t>序号</w:t>
            </w:r>
          </w:p>
        </w:tc>
        <w:tc>
          <w:tcPr>
            <w:tcW w:w="1701" w:type="dxa"/>
            <w:vAlign w:val="center"/>
          </w:tcPr>
          <w:p>
            <w:pPr>
              <w:adjustRightInd w:val="0"/>
              <w:spacing w:line="360" w:lineRule="auto"/>
              <w:contextualSpacing/>
              <w:jc w:val="center"/>
              <w:rPr>
                <w:rFonts w:ascii="宋体" w:hAnsi="宋体"/>
                <w:b/>
                <w:kern w:val="0"/>
                <w:sz w:val="24"/>
                <w:szCs w:val="24"/>
              </w:rPr>
            </w:pPr>
            <w:r>
              <w:rPr>
                <w:rFonts w:hint="eastAsia" w:ascii="宋体" w:hAnsi="宋体"/>
                <w:b/>
                <w:kern w:val="0"/>
                <w:sz w:val="24"/>
                <w:szCs w:val="24"/>
              </w:rPr>
              <w:t>招聘单位</w:t>
            </w:r>
          </w:p>
        </w:tc>
        <w:tc>
          <w:tcPr>
            <w:tcW w:w="1465" w:type="dxa"/>
            <w:vAlign w:val="center"/>
          </w:tcPr>
          <w:p>
            <w:pPr>
              <w:adjustRightInd w:val="0"/>
              <w:spacing w:line="360" w:lineRule="auto"/>
              <w:contextualSpacing/>
              <w:jc w:val="center"/>
              <w:rPr>
                <w:rFonts w:ascii="宋体" w:hAnsi="宋体"/>
                <w:b/>
                <w:kern w:val="0"/>
                <w:sz w:val="24"/>
                <w:szCs w:val="24"/>
              </w:rPr>
            </w:pPr>
            <w:r>
              <w:rPr>
                <w:rFonts w:hint="eastAsia" w:ascii="宋体" w:hAnsi="宋体"/>
                <w:b/>
                <w:kern w:val="0"/>
                <w:sz w:val="24"/>
                <w:szCs w:val="24"/>
              </w:rPr>
              <w:t>招聘岗位</w:t>
            </w:r>
          </w:p>
        </w:tc>
        <w:tc>
          <w:tcPr>
            <w:tcW w:w="1228" w:type="dxa"/>
            <w:vAlign w:val="center"/>
          </w:tcPr>
          <w:p>
            <w:pPr>
              <w:adjustRightInd w:val="0"/>
              <w:spacing w:line="360" w:lineRule="auto"/>
              <w:contextualSpacing/>
              <w:jc w:val="center"/>
              <w:rPr>
                <w:rFonts w:ascii="宋体" w:hAnsi="宋体"/>
                <w:b/>
                <w:kern w:val="0"/>
                <w:sz w:val="24"/>
                <w:szCs w:val="24"/>
              </w:rPr>
            </w:pPr>
            <w:r>
              <w:rPr>
                <w:rFonts w:hint="eastAsia" w:ascii="宋体" w:hAnsi="宋体"/>
                <w:b/>
                <w:kern w:val="0"/>
                <w:sz w:val="24"/>
                <w:szCs w:val="24"/>
              </w:rPr>
              <w:t>招聘人数</w:t>
            </w:r>
          </w:p>
        </w:tc>
        <w:tc>
          <w:tcPr>
            <w:tcW w:w="1276" w:type="dxa"/>
            <w:vAlign w:val="center"/>
          </w:tcPr>
          <w:p>
            <w:pPr>
              <w:widowControl/>
              <w:jc w:val="center"/>
              <w:textAlignment w:val="center"/>
              <w:rPr>
                <w:rFonts w:ascii="宋体" w:hAnsi="宋体"/>
                <w:b/>
                <w:kern w:val="0"/>
                <w:sz w:val="24"/>
                <w:szCs w:val="24"/>
              </w:rPr>
            </w:pPr>
            <w:r>
              <w:rPr>
                <w:rFonts w:hint="eastAsia" w:ascii="宋体" w:hAnsi="宋体"/>
                <w:b/>
                <w:kern w:val="0"/>
                <w:sz w:val="24"/>
                <w:szCs w:val="24"/>
              </w:rPr>
              <w:t>年龄要求</w:t>
            </w:r>
          </w:p>
        </w:tc>
        <w:tc>
          <w:tcPr>
            <w:tcW w:w="1275" w:type="dxa"/>
            <w:vAlign w:val="center"/>
          </w:tcPr>
          <w:p>
            <w:pPr>
              <w:widowControl/>
              <w:jc w:val="center"/>
              <w:textAlignment w:val="center"/>
              <w:rPr>
                <w:rFonts w:ascii="宋体" w:hAnsi="宋体"/>
                <w:b/>
                <w:kern w:val="0"/>
                <w:sz w:val="24"/>
                <w:szCs w:val="24"/>
              </w:rPr>
            </w:pPr>
            <w:r>
              <w:rPr>
                <w:rFonts w:ascii="宋体" w:hAnsi="宋体"/>
                <w:b/>
                <w:kern w:val="0"/>
                <w:sz w:val="24"/>
                <w:szCs w:val="24"/>
              </w:rPr>
              <w:t>专业要求</w:t>
            </w:r>
          </w:p>
        </w:tc>
        <w:tc>
          <w:tcPr>
            <w:tcW w:w="1303" w:type="dxa"/>
            <w:vAlign w:val="center"/>
          </w:tcPr>
          <w:p>
            <w:pPr>
              <w:widowControl/>
              <w:jc w:val="center"/>
              <w:textAlignment w:val="center"/>
              <w:rPr>
                <w:rFonts w:ascii="宋体" w:hAnsi="宋体"/>
                <w:b/>
                <w:kern w:val="0"/>
                <w:sz w:val="24"/>
                <w:szCs w:val="24"/>
              </w:rPr>
            </w:pPr>
            <w:r>
              <w:rPr>
                <w:rFonts w:ascii="宋体" w:hAnsi="宋体"/>
                <w:b/>
                <w:kern w:val="0"/>
                <w:sz w:val="24"/>
                <w:szCs w:val="24"/>
              </w:rPr>
              <w:t>学历要求</w:t>
            </w:r>
          </w:p>
        </w:tc>
        <w:tc>
          <w:tcPr>
            <w:tcW w:w="5056" w:type="dxa"/>
            <w:vAlign w:val="center"/>
          </w:tcPr>
          <w:p>
            <w:pPr>
              <w:adjustRightInd w:val="0"/>
              <w:spacing w:line="360" w:lineRule="auto"/>
              <w:contextualSpacing/>
              <w:jc w:val="center"/>
              <w:rPr>
                <w:rFonts w:ascii="宋体" w:hAnsi="宋体"/>
                <w:b/>
                <w:kern w:val="0"/>
                <w:sz w:val="24"/>
                <w:szCs w:val="24"/>
              </w:rPr>
            </w:pPr>
            <w:r>
              <w:rPr>
                <w:rFonts w:ascii="宋体" w:hAnsi="宋体"/>
                <w:b/>
                <w:kern w:val="0"/>
                <w:sz w:val="24"/>
                <w:szCs w:val="24"/>
              </w:rPr>
              <w:t>其他岗位要求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0" w:type="dxa"/>
            <w:vAlign w:val="center"/>
          </w:tcPr>
          <w:p>
            <w:pPr>
              <w:adjustRightInd w:val="0"/>
              <w:contextualSpacing/>
              <w:jc w:val="center"/>
              <w:rPr>
                <w:rFonts w:ascii="仿宋" w:hAnsi="仿宋" w:eastAsia="仿宋" w:cs="Times New Roman"/>
                <w:sz w:val="24"/>
                <w:szCs w:val="24"/>
              </w:rPr>
            </w:pPr>
            <w:r>
              <w:rPr>
                <w:rFonts w:hint="eastAsia" w:ascii="仿宋" w:hAnsi="仿宋" w:eastAsia="仿宋" w:cs="Times New Roman"/>
                <w:sz w:val="24"/>
                <w:szCs w:val="24"/>
              </w:rPr>
              <w:t>1</w:t>
            </w:r>
          </w:p>
        </w:tc>
        <w:tc>
          <w:tcPr>
            <w:tcW w:w="1701" w:type="dxa"/>
            <w:vAlign w:val="center"/>
          </w:tcPr>
          <w:p>
            <w:pPr>
              <w:adjustRightInd w:val="0"/>
              <w:contextualSpacing/>
              <w:jc w:val="center"/>
              <w:rPr>
                <w:rFonts w:ascii="仿宋" w:hAnsi="仿宋" w:eastAsia="仿宋" w:cs="仿宋"/>
                <w:sz w:val="24"/>
                <w:szCs w:val="24"/>
              </w:rPr>
            </w:pPr>
            <w:r>
              <w:rPr>
                <w:rFonts w:hint="eastAsia" w:ascii="仿宋" w:hAnsi="仿宋" w:eastAsia="仿宋" w:cs="仿宋"/>
                <w:sz w:val="24"/>
                <w:szCs w:val="24"/>
              </w:rPr>
              <w:t>吉林省净发创新投资集团有限公司（总部）</w:t>
            </w:r>
          </w:p>
        </w:tc>
        <w:tc>
          <w:tcPr>
            <w:tcW w:w="1465" w:type="dxa"/>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财务部（财务核算中心）记账会计</w:t>
            </w:r>
          </w:p>
        </w:tc>
        <w:tc>
          <w:tcPr>
            <w:tcW w:w="1228" w:type="dxa"/>
            <w:vAlign w:val="center"/>
          </w:tcPr>
          <w:p>
            <w:pPr>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2</w:t>
            </w:r>
          </w:p>
        </w:tc>
        <w:tc>
          <w:tcPr>
            <w:tcW w:w="1276" w:type="dxa"/>
            <w:shd w:val="clear" w:color="auto" w:fill="auto"/>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35周岁及以下</w:t>
            </w:r>
          </w:p>
        </w:tc>
        <w:tc>
          <w:tcPr>
            <w:tcW w:w="1275" w:type="dxa"/>
            <w:shd w:val="clear" w:color="auto" w:fill="auto"/>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会计学、财务管理、审计学</w:t>
            </w:r>
          </w:p>
        </w:tc>
        <w:tc>
          <w:tcPr>
            <w:tcW w:w="1303" w:type="dxa"/>
            <w:shd w:val="clear" w:color="auto" w:fill="auto"/>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全日制本科及以上</w:t>
            </w:r>
          </w:p>
        </w:tc>
        <w:tc>
          <w:tcPr>
            <w:tcW w:w="5056" w:type="dxa"/>
            <w:shd w:val="clear" w:color="auto" w:fill="auto"/>
            <w:vAlign w:val="center"/>
          </w:tcPr>
          <w:p>
            <w:pPr>
              <w:widowControl/>
              <w:textAlignment w:val="center"/>
              <w:rPr>
                <w:rFonts w:ascii="仿宋" w:hAnsi="仿宋" w:eastAsia="仿宋" w:cs="仿宋"/>
                <w:kern w:val="0"/>
                <w:sz w:val="24"/>
                <w:szCs w:val="24"/>
              </w:rPr>
            </w:pPr>
            <w:r>
              <w:rPr>
                <w:rFonts w:hint="eastAsia" w:ascii="仿宋" w:hAnsi="仿宋" w:eastAsia="仿宋" w:cs="仿宋"/>
                <w:kern w:val="0"/>
                <w:sz w:val="24"/>
                <w:szCs w:val="24"/>
              </w:rPr>
              <w:t>1.持有初级及以上会计资格证书；</w:t>
            </w:r>
          </w:p>
          <w:p>
            <w:pPr>
              <w:widowControl/>
              <w:textAlignment w:val="center"/>
              <w:rPr>
                <w:rFonts w:ascii="仿宋" w:hAnsi="仿宋" w:eastAsia="仿宋" w:cs="仿宋"/>
                <w:kern w:val="0"/>
                <w:sz w:val="24"/>
                <w:szCs w:val="24"/>
              </w:rPr>
            </w:pPr>
            <w:r>
              <w:rPr>
                <w:rFonts w:hint="eastAsia" w:ascii="仿宋" w:hAnsi="仿宋" w:eastAsia="仿宋" w:cs="仿宋"/>
                <w:kern w:val="0"/>
                <w:sz w:val="24"/>
                <w:szCs w:val="24"/>
              </w:rPr>
              <w:t>2.有建筑、施工、房地产企业会计岗位5年及以上工作经验；</w:t>
            </w:r>
          </w:p>
          <w:p>
            <w:pPr>
              <w:widowControl/>
              <w:textAlignment w:val="center"/>
              <w:rPr>
                <w:rFonts w:ascii="仿宋" w:hAnsi="仿宋" w:eastAsia="仿宋" w:cs="仿宋"/>
                <w:kern w:val="0"/>
                <w:sz w:val="24"/>
                <w:szCs w:val="24"/>
              </w:rPr>
            </w:pPr>
            <w:r>
              <w:rPr>
                <w:rFonts w:hint="eastAsia" w:ascii="仿宋" w:hAnsi="仿宋" w:eastAsia="仿宋" w:cs="仿宋"/>
                <w:kern w:val="0"/>
                <w:sz w:val="24"/>
                <w:szCs w:val="24"/>
              </w:rPr>
              <w:t>3.具有一定的财务分析和文字材料撰写能力；</w:t>
            </w:r>
          </w:p>
          <w:p>
            <w:pPr>
              <w:widowControl/>
              <w:textAlignment w:val="center"/>
              <w:rPr>
                <w:rFonts w:ascii="仿宋" w:hAnsi="仿宋" w:eastAsia="仿宋" w:cs="仿宋"/>
                <w:kern w:val="0"/>
                <w:sz w:val="24"/>
                <w:szCs w:val="24"/>
              </w:rPr>
            </w:pPr>
            <w:r>
              <w:rPr>
                <w:rFonts w:hint="eastAsia" w:ascii="仿宋" w:hAnsi="仿宋" w:eastAsia="仿宋" w:cs="仿宋"/>
                <w:kern w:val="0"/>
                <w:sz w:val="24"/>
                <w:szCs w:val="24"/>
              </w:rPr>
              <w:t>4.持有注册会计师证书者年龄可放宽至40周 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trPr>
        <w:tc>
          <w:tcPr>
            <w:tcW w:w="710" w:type="dxa"/>
            <w:vAlign w:val="center"/>
          </w:tcPr>
          <w:p>
            <w:pPr>
              <w:adjustRightInd w:val="0"/>
              <w:contextualSpacing/>
              <w:jc w:val="center"/>
              <w:rPr>
                <w:rFonts w:ascii="仿宋" w:hAnsi="仿宋" w:eastAsia="仿宋" w:cs="Times New Roman"/>
                <w:sz w:val="24"/>
                <w:szCs w:val="24"/>
              </w:rPr>
            </w:pPr>
            <w:r>
              <w:rPr>
                <w:rFonts w:hint="eastAsia" w:ascii="仿宋" w:hAnsi="仿宋" w:eastAsia="仿宋" w:cs="Times New Roman"/>
                <w:sz w:val="24"/>
                <w:szCs w:val="24"/>
              </w:rPr>
              <w:t>2</w:t>
            </w:r>
          </w:p>
        </w:tc>
        <w:tc>
          <w:tcPr>
            <w:tcW w:w="1701" w:type="dxa"/>
            <w:vAlign w:val="center"/>
          </w:tcPr>
          <w:p>
            <w:pPr>
              <w:adjustRightInd w:val="0"/>
              <w:contextualSpacing/>
              <w:jc w:val="center"/>
              <w:rPr>
                <w:rFonts w:ascii="仿宋" w:hAnsi="仿宋" w:eastAsia="仿宋" w:cs="仿宋"/>
                <w:sz w:val="24"/>
                <w:szCs w:val="24"/>
              </w:rPr>
            </w:pPr>
            <w:r>
              <w:rPr>
                <w:rFonts w:hint="eastAsia" w:ascii="仿宋" w:hAnsi="仿宋" w:eastAsia="仿宋" w:cs="仿宋"/>
                <w:sz w:val="24"/>
                <w:szCs w:val="24"/>
              </w:rPr>
              <w:t>长春净月高新技术产业开发区国有资产投资运营（集团）有限公司（一级子公司）</w:t>
            </w:r>
          </w:p>
        </w:tc>
        <w:tc>
          <w:tcPr>
            <w:tcW w:w="1465" w:type="dxa"/>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玉潭镇</w:t>
            </w:r>
            <w:r>
              <w:rPr>
                <w:rFonts w:hint="eastAsia" w:ascii="仿宋" w:hAnsi="仿宋" w:eastAsia="仿宋" w:cs="仿宋"/>
                <w:kern w:val="0"/>
                <w:sz w:val="24"/>
                <w:szCs w:val="24"/>
                <w:lang w:val="en-US" w:eastAsia="zh-CN"/>
              </w:rPr>
              <w:t>黎明</w:t>
            </w:r>
            <w:r>
              <w:rPr>
                <w:rFonts w:hint="eastAsia" w:ascii="仿宋" w:hAnsi="仿宋" w:eastAsia="仿宋" w:cs="仿宋"/>
                <w:kern w:val="0"/>
                <w:sz w:val="24"/>
                <w:szCs w:val="24"/>
              </w:rPr>
              <w:t>村书记（主任）助理</w:t>
            </w:r>
          </w:p>
        </w:tc>
        <w:tc>
          <w:tcPr>
            <w:tcW w:w="1228" w:type="dxa"/>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276" w:type="dxa"/>
            <w:shd w:val="clear" w:color="auto" w:fill="auto"/>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35周岁及以下</w:t>
            </w:r>
          </w:p>
        </w:tc>
        <w:tc>
          <w:tcPr>
            <w:tcW w:w="1275" w:type="dxa"/>
            <w:shd w:val="clear" w:color="auto" w:fill="auto"/>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不限</w:t>
            </w:r>
          </w:p>
        </w:tc>
        <w:tc>
          <w:tcPr>
            <w:tcW w:w="1303" w:type="dxa"/>
            <w:shd w:val="clear" w:color="auto" w:fill="auto"/>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本科及以上学历</w:t>
            </w:r>
          </w:p>
        </w:tc>
        <w:tc>
          <w:tcPr>
            <w:tcW w:w="5056" w:type="dxa"/>
            <w:shd w:val="clear" w:color="auto" w:fill="auto"/>
            <w:vAlign w:val="center"/>
          </w:tcPr>
          <w:p>
            <w:pPr>
              <w:widowControl/>
              <w:textAlignment w:val="center"/>
              <w:rPr>
                <w:rFonts w:ascii="仿宋" w:hAnsi="仿宋" w:eastAsia="仿宋" w:cs="仿宋"/>
                <w:kern w:val="0"/>
                <w:sz w:val="24"/>
                <w:szCs w:val="24"/>
              </w:rPr>
            </w:pPr>
            <w:r>
              <w:rPr>
                <w:rFonts w:hint="eastAsia" w:ascii="仿宋" w:hAnsi="仿宋" w:eastAsia="仿宋" w:cs="仿宋"/>
                <w:kern w:val="0"/>
                <w:sz w:val="24"/>
                <w:szCs w:val="24"/>
              </w:rPr>
              <w:t>1.熟悉国家乡村振兴相关政策，熟悉所在村相关情况，热爱“三农”工作；</w:t>
            </w:r>
          </w:p>
          <w:p>
            <w:pPr>
              <w:widowControl/>
              <w:textAlignment w:val="center"/>
              <w:rPr>
                <w:rFonts w:ascii="仿宋" w:hAnsi="仿宋" w:eastAsia="仿宋" w:cs="仿宋"/>
                <w:kern w:val="0"/>
                <w:sz w:val="24"/>
                <w:szCs w:val="24"/>
              </w:rPr>
            </w:pPr>
            <w:r>
              <w:rPr>
                <w:rFonts w:hint="eastAsia" w:ascii="仿宋" w:hAnsi="仿宋" w:eastAsia="仿宋" w:cs="仿宋"/>
                <w:kern w:val="0"/>
                <w:sz w:val="24"/>
                <w:szCs w:val="24"/>
              </w:rPr>
              <w:t>2.具有3年及以上农村基层工作经验，善于与农民群众沟通交流，能够协助村书记（主任）做好农村发展、规划、建设等相关政务工作；</w:t>
            </w:r>
          </w:p>
          <w:p>
            <w:pPr>
              <w:widowControl/>
              <w:textAlignment w:val="center"/>
              <w:rPr>
                <w:rFonts w:ascii="仿宋" w:hAnsi="仿宋" w:eastAsia="仿宋" w:cs="仿宋"/>
                <w:kern w:val="0"/>
                <w:sz w:val="24"/>
                <w:szCs w:val="24"/>
              </w:rPr>
            </w:pPr>
            <w:r>
              <w:rPr>
                <w:rFonts w:hint="eastAsia" w:ascii="仿宋" w:hAnsi="仿宋" w:eastAsia="仿宋" w:cs="仿宋"/>
                <w:kern w:val="0"/>
                <w:sz w:val="24"/>
                <w:szCs w:val="24"/>
              </w:rPr>
              <w:t>3.工作作风务实，肯于吃苦，能够熟练使用各种办公软件。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710" w:type="dxa"/>
            <w:vAlign w:val="center"/>
          </w:tcPr>
          <w:p>
            <w:pPr>
              <w:adjustRightInd w:val="0"/>
              <w:contextualSpacing/>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3</w:t>
            </w:r>
          </w:p>
        </w:tc>
        <w:tc>
          <w:tcPr>
            <w:tcW w:w="1701" w:type="dxa"/>
            <w:vMerge w:val="restart"/>
            <w:vAlign w:val="center"/>
          </w:tcPr>
          <w:p>
            <w:pPr>
              <w:adjustRightInd w:val="0"/>
              <w:contextualSpacing/>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长春净月潭旅游发展集团有限公司</w:t>
            </w:r>
          </w:p>
        </w:tc>
        <w:tc>
          <w:tcPr>
            <w:tcW w:w="1465" w:type="dxa"/>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计划财务部售票员</w:t>
            </w:r>
          </w:p>
        </w:tc>
        <w:tc>
          <w:tcPr>
            <w:tcW w:w="1228" w:type="dxa"/>
            <w:vAlign w:val="center"/>
          </w:tcPr>
          <w:p>
            <w:pPr>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3</w:t>
            </w:r>
          </w:p>
        </w:tc>
        <w:tc>
          <w:tcPr>
            <w:tcW w:w="1276" w:type="dxa"/>
            <w:shd w:val="clear" w:color="auto" w:fill="auto"/>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30周岁及以下</w:t>
            </w:r>
          </w:p>
        </w:tc>
        <w:tc>
          <w:tcPr>
            <w:tcW w:w="1275" w:type="dxa"/>
            <w:shd w:val="clear" w:color="auto" w:fill="auto"/>
            <w:vAlign w:val="center"/>
          </w:tcPr>
          <w:p>
            <w:pPr>
              <w:jc w:val="center"/>
              <w:rPr>
                <w:rFonts w:hint="eastAsia" w:ascii="仿宋" w:hAnsi="仿宋" w:eastAsia="仿宋" w:cs="仿宋"/>
                <w:kern w:val="0"/>
                <w:sz w:val="24"/>
                <w:szCs w:val="24"/>
              </w:rPr>
            </w:pPr>
          </w:p>
          <w:p>
            <w:pPr>
              <w:jc w:val="center"/>
              <w:rPr>
                <w:rFonts w:hint="eastAsia" w:ascii="仿宋" w:hAnsi="仿宋" w:eastAsia="仿宋" w:cs="仿宋"/>
                <w:kern w:val="0"/>
                <w:sz w:val="24"/>
                <w:szCs w:val="24"/>
              </w:rPr>
            </w:pPr>
          </w:p>
          <w:p>
            <w:pPr>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不限</w:t>
            </w:r>
          </w:p>
        </w:tc>
        <w:tc>
          <w:tcPr>
            <w:tcW w:w="1303" w:type="dxa"/>
            <w:shd w:val="clear" w:color="auto" w:fill="auto"/>
            <w:vAlign w:val="center"/>
          </w:tcPr>
          <w:p>
            <w:pPr>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全日制大专及以上学历</w:t>
            </w:r>
          </w:p>
        </w:tc>
        <w:tc>
          <w:tcPr>
            <w:tcW w:w="5056" w:type="dxa"/>
            <w:shd w:val="clear" w:color="auto" w:fill="auto"/>
            <w:vAlign w:val="center"/>
          </w:tcPr>
          <w:p>
            <w:pPr>
              <w:widowControl/>
              <w:numPr>
                <w:ilvl w:val="0"/>
                <w:numId w:val="1"/>
              </w:numP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身体素质好，能适应一线工作岗位的工作性质，具备吃苦耐劳的良好品质，有相关岗位工作经验者优先考虑；</w:t>
            </w:r>
          </w:p>
          <w:p>
            <w:pPr>
              <w:widowControl/>
              <w:numPr>
                <w:ilvl w:val="0"/>
                <w:numId w:val="1"/>
              </w:numP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具有财务专业能力素质；</w:t>
            </w:r>
          </w:p>
          <w:p>
            <w:pPr>
              <w:widowControl/>
              <w:numPr>
                <w:ilvl w:val="0"/>
                <w:numId w:val="1"/>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能够服从领导安排，工作认真负责。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710" w:type="dxa"/>
            <w:vAlign w:val="center"/>
          </w:tcPr>
          <w:p>
            <w:pPr>
              <w:adjustRightInd w:val="0"/>
              <w:contextualSpacing/>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4</w:t>
            </w:r>
          </w:p>
        </w:tc>
        <w:tc>
          <w:tcPr>
            <w:tcW w:w="1701" w:type="dxa"/>
            <w:vMerge w:val="continue"/>
            <w:vAlign w:val="center"/>
          </w:tcPr>
          <w:p>
            <w:pPr>
              <w:adjustRightInd w:val="0"/>
              <w:contextualSpacing/>
              <w:jc w:val="center"/>
              <w:rPr>
                <w:rFonts w:hint="eastAsia" w:ascii="仿宋" w:hAnsi="仿宋" w:eastAsia="仿宋" w:cs="仿宋"/>
                <w:sz w:val="24"/>
                <w:szCs w:val="24"/>
              </w:rPr>
            </w:pPr>
          </w:p>
        </w:tc>
        <w:tc>
          <w:tcPr>
            <w:tcW w:w="1465" w:type="dxa"/>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观光运营部驾驶员</w:t>
            </w:r>
          </w:p>
        </w:tc>
        <w:tc>
          <w:tcPr>
            <w:tcW w:w="1228" w:type="dxa"/>
            <w:vAlign w:val="center"/>
          </w:tcPr>
          <w:p>
            <w:pPr>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4</w:t>
            </w:r>
          </w:p>
        </w:tc>
        <w:tc>
          <w:tcPr>
            <w:tcW w:w="1276" w:type="dxa"/>
            <w:shd w:val="clear" w:color="auto" w:fill="auto"/>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50周岁及以下</w:t>
            </w:r>
          </w:p>
        </w:tc>
        <w:tc>
          <w:tcPr>
            <w:tcW w:w="1275" w:type="dxa"/>
            <w:shd w:val="clear" w:color="auto" w:fill="auto"/>
            <w:vAlign w:val="center"/>
          </w:tcPr>
          <w:p>
            <w:pPr>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不限</w:t>
            </w:r>
          </w:p>
        </w:tc>
        <w:tc>
          <w:tcPr>
            <w:tcW w:w="1303" w:type="dxa"/>
            <w:shd w:val="clear" w:color="auto" w:fill="auto"/>
            <w:vAlign w:val="center"/>
          </w:tcPr>
          <w:p>
            <w:pPr>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中专及以上学历</w:t>
            </w:r>
          </w:p>
        </w:tc>
        <w:tc>
          <w:tcPr>
            <w:tcW w:w="5056" w:type="dxa"/>
            <w:shd w:val="clear" w:color="auto" w:fill="auto"/>
            <w:vAlign w:val="center"/>
          </w:tcPr>
          <w:p>
            <w:pPr>
              <w:widowControl/>
              <w:numPr>
                <w:ilvl w:val="0"/>
                <w:numId w:val="2"/>
              </w:numP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持有A2或以上驾驶证，具有3年及以上驾驶经验，驾驶技术熟练；</w:t>
            </w:r>
          </w:p>
          <w:p>
            <w:pPr>
              <w:widowControl/>
              <w:numPr>
                <w:ilvl w:val="0"/>
                <w:numId w:val="2"/>
              </w:numP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为人诚实守信，能吃苦耐劳；</w:t>
            </w:r>
          </w:p>
          <w:p>
            <w:pPr>
              <w:widowControl/>
              <w:numPr>
                <w:ilvl w:val="0"/>
                <w:numId w:val="2"/>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能服从工作安排，有良好的沟通表达能力，服务意识强。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710" w:type="dxa"/>
            <w:vAlign w:val="center"/>
          </w:tcPr>
          <w:p>
            <w:pPr>
              <w:adjustRightInd w:val="0"/>
              <w:contextualSpacing/>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5</w:t>
            </w:r>
          </w:p>
        </w:tc>
        <w:tc>
          <w:tcPr>
            <w:tcW w:w="1701" w:type="dxa"/>
            <w:vMerge w:val="continue"/>
            <w:vAlign w:val="center"/>
          </w:tcPr>
          <w:p>
            <w:pPr>
              <w:adjustRightInd w:val="0"/>
              <w:contextualSpacing/>
              <w:jc w:val="center"/>
              <w:rPr>
                <w:rFonts w:hint="eastAsia" w:ascii="仿宋" w:hAnsi="仿宋" w:eastAsia="仿宋" w:cs="仿宋"/>
                <w:sz w:val="24"/>
                <w:szCs w:val="24"/>
              </w:rPr>
            </w:pPr>
          </w:p>
        </w:tc>
        <w:tc>
          <w:tcPr>
            <w:tcW w:w="1465" w:type="dxa"/>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旅游业务部导游员</w:t>
            </w:r>
          </w:p>
        </w:tc>
        <w:tc>
          <w:tcPr>
            <w:tcW w:w="1228" w:type="dxa"/>
            <w:vAlign w:val="center"/>
          </w:tcPr>
          <w:p>
            <w:pPr>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10</w:t>
            </w:r>
          </w:p>
        </w:tc>
        <w:tc>
          <w:tcPr>
            <w:tcW w:w="1276" w:type="dxa"/>
            <w:shd w:val="clear" w:color="auto" w:fill="auto"/>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25周岁以及以下</w:t>
            </w:r>
          </w:p>
        </w:tc>
        <w:tc>
          <w:tcPr>
            <w:tcW w:w="1275" w:type="dxa"/>
            <w:shd w:val="clear" w:color="auto" w:fill="auto"/>
            <w:vAlign w:val="center"/>
          </w:tcPr>
          <w:p>
            <w:pPr>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不限</w:t>
            </w:r>
          </w:p>
        </w:tc>
        <w:tc>
          <w:tcPr>
            <w:tcW w:w="1303" w:type="dxa"/>
            <w:shd w:val="clear" w:color="auto" w:fill="auto"/>
            <w:vAlign w:val="center"/>
          </w:tcPr>
          <w:p>
            <w:pPr>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全日制大专及以上学历</w:t>
            </w:r>
          </w:p>
        </w:tc>
        <w:tc>
          <w:tcPr>
            <w:tcW w:w="5056" w:type="dxa"/>
            <w:shd w:val="clear" w:color="auto" w:fill="auto"/>
            <w:vAlign w:val="center"/>
          </w:tcPr>
          <w:p>
            <w:pPr>
              <w:widowControl/>
              <w:numPr>
                <w:ilvl w:val="0"/>
                <w:numId w:val="3"/>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身高165CM以上；</w:t>
            </w:r>
          </w:p>
          <w:p>
            <w:pPr>
              <w:widowControl/>
              <w:numPr>
                <w:ilvl w:val="0"/>
                <w:numId w:val="3"/>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持有导游证；</w:t>
            </w:r>
          </w:p>
          <w:p>
            <w:pPr>
              <w:widowControl/>
              <w:numPr>
                <w:ilvl w:val="0"/>
                <w:numId w:val="3"/>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五官端正，形象好，气质佳，有良好的沟通表达能力，服务意识强；</w:t>
            </w:r>
          </w:p>
          <w:p>
            <w:pPr>
              <w:widowControl/>
              <w:numPr>
                <w:ilvl w:val="0"/>
                <w:numId w:val="3"/>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能吃苦耐劳，服从上级安排。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710" w:type="dxa"/>
            <w:vAlign w:val="center"/>
          </w:tcPr>
          <w:p>
            <w:pPr>
              <w:adjustRightInd w:val="0"/>
              <w:contextualSpacing/>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6</w:t>
            </w:r>
          </w:p>
        </w:tc>
        <w:tc>
          <w:tcPr>
            <w:tcW w:w="1701" w:type="dxa"/>
            <w:vAlign w:val="center"/>
          </w:tcPr>
          <w:p>
            <w:pPr>
              <w:adjustRightInd w:val="0"/>
              <w:contextualSpacing/>
              <w:jc w:val="center"/>
              <w:rPr>
                <w:rFonts w:ascii="仿宋" w:hAnsi="仿宋" w:eastAsia="仿宋" w:cs="仿宋"/>
                <w:sz w:val="24"/>
                <w:szCs w:val="24"/>
              </w:rPr>
            </w:pPr>
            <w:r>
              <w:rPr>
                <w:rFonts w:hint="eastAsia" w:ascii="仿宋" w:hAnsi="仿宋" w:eastAsia="仿宋" w:cs="仿宋"/>
                <w:sz w:val="24"/>
                <w:szCs w:val="24"/>
              </w:rPr>
              <w:t>长春百佳物业管理有限公司（二级子公司）</w:t>
            </w:r>
          </w:p>
        </w:tc>
        <w:tc>
          <w:tcPr>
            <w:tcW w:w="1465" w:type="dxa"/>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综合办公室工作人员</w:t>
            </w:r>
          </w:p>
        </w:tc>
        <w:tc>
          <w:tcPr>
            <w:tcW w:w="1228" w:type="dxa"/>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276" w:type="dxa"/>
            <w:shd w:val="clear" w:color="auto" w:fill="auto"/>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35周岁及以下</w:t>
            </w:r>
          </w:p>
        </w:tc>
        <w:tc>
          <w:tcPr>
            <w:tcW w:w="1275" w:type="dxa"/>
            <w:shd w:val="clear" w:color="auto" w:fill="auto"/>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不限</w:t>
            </w:r>
          </w:p>
        </w:tc>
        <w:tc>
          <w:tcPr>
            <w:tcW w:w="1303" w:type="dxa"/>
            <w:shd w:val="clear" w:color="auto" w:fill="auto"/>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专科及以上学历</w:t>
            </w:r>
          </w:p>
        </w:tc>
        <w:tc>
          <w:tcPr>
            <w:tcW w:w="5056" w:type="dxa"/>
            <w:shd w:val="clear" w:color="auto" w:fill="auto"/>
            <w:vAlign w:val="center"/>
          </w:tcPr>
          <w:p>
            <w:pPr>
              <w:widowControl/>
              <w:tabs>
                <w:tab w:val="left" w:pos="312"/>
              </w:tabs>
              <w:textAlignment w:val="center"/>
              <w:rPr>
                <w:rFonts w:ascii="仿宋" w:hAnsi="仿宋" w:eastAsia="仿宋" w:cs="仿宋"/>
                <w:kern w:val="0"/>
                <w:sz w:val="24"/>
                <w:szCs w:val="24"/>
              </w:rPr>
            </w:pPr>
            <w:r>
              <w:rPr>
                <w:rFonts w:hint="eastAsia" w:ascii="仿宋" w:hAnsi="仿宋" w:eastAsia="仿宋" w:cs="仿宋"/>
                <w:kern w:val="0"/>
                <w:sz w:val="24"/>
                <w:szCs w:val="24"/>
              </w:rPr>
              <w:t>1.具有5年及以上物业工作经验；</w:t>
            </w:r>
          </w:p>
          <w:p>
            <w:pPr>
              <w:widowControl/>
              <w:tabs>
                <w:tab w:val="left" w:pos="312"/>
              </w:tabs>
              <w:textAlignment w:val="center"/>
              <w:rPr>
                <w:rFonts w:ascii="仿宋" w:hAnsi="仿宋" w:eastAsia="仿宋" w:cs="仿宋"/>
                <w:kern w:val="0"/>
                <w:sz w:val="24"/>
                <w:szCs w:val="24"/>
              </w:rPr>
            </w:pPr>
            <w:r>
              <w:rPr>
                <w:rFonts w:hint="eastAsia" w:ascii="仿宋" w:hAnsi="仿宋" w:eastAsia="仿宋" w:cs="仿宋"/>
                <w:kern w:val="0"/>
                <w:sz w:val="24"/>
                <w:szCs w:val="24"/>
              </w:rPr>
              <w:t>2.工作细致，认真负责，熟练使用各类办公软件；表达能力强，有耐心，熟悉物业服务的工作流程；</w:t>
            </w:r>
          </w:p>
          <w:p>
            <w:pPr>
              <w:widowControl/>
              <w:tabs>
                <w:tab w:val="left" w:pos="312"/>
              </w:tabs>
              <w:textAlignment w:val="center"/>
              <w:rPr>
                <w:rFonts w:ascii="仿宋" w:hAnsi="仿宋" w:eastAsia="仿宋" w:cs="仿宋"/>
                <w:kern w:val="0"/>
                <w:sz w:val="24"/>
                <w:szCs w:val="24"/>
              </w:rPr>
            </w:pPr>
            <w:r>
              <w:rPr>
                <w:rFonts w:hint="eastAsia" w:ascii="仿宋" w:hAnsi="仿宋" w:eastAsia="仿宋" w:cs="仿宋"/>
                <w:kern w:val="0"/>
                <w:sz w:val="24"/>
                <w:szCs w:val="24"/>
              </w:rPr>
              <w:t>3.具有人事管理及财务工作方面经验者优先考虑。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trPr>
        <w:tc>
          <w:tcPr>
            <w:tcW w:w="710" w:type="dxa"/>
            <w:vAlign w:val="center"/>
          </w:tcPr>
          <w:p>
            <w:pPr>
              <w:adjustRightInd w:val="0"/>
              <w:contextualSpacing/>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7</w:t>
            </w:r>
          </w:p>
        </w:tc>
        <w:tc>
          <w:tcPr>
            <w:tcW w:w="1701" w:type="dxa"/>
            <w:vAlign w:val="center"/>
          </w:tcPr>
          <w:p>
            <w:pPr>
              <w:adjustRightInd w:val="0"/>
              <w:contextualSpacing/>
              <w:jc w:val="center"/>
              <w:rPr>
                <w:rFonts w:ascii="仿宋" w:hAnsi="仿宋" w:eastAsia="仿宋" w:cs="仿宋"/>
                <w:sz w:val="24"/>
                <w:szCs w:val="24"/>
              </w:rPr>
            </w:pPr>
            <w:r>
              <w:rPr>
                <w:rFonts w:hint="eastAsia" w:ascii="仿宋" w:hAnsi="仿宋" w:eastAsia="仿宋" w:cs="仿宋"/>
                <w:sz w:val="24"/>
                <w:szCs w:val="24"/>
              </w:rPr>
              <w:t>吉林省净发环卫有限公司（二级子公司）</w:t>
            </w:r>
          </w:p>
        </w:tc>
        <w:tc>
          <w:tcPr>
            <w:tcW w:w="1465" w:type="dxa"/>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质量安全部工作人员</w:t>
            </w:r>
          </w:p>
        </w:tc>
        <w:tc>
          <w:tcPr>
            <w:tcW w:w="1228" w:type="dxa"/>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276" w:type="dxa"/>
            <w:shd w:val="clear" w:color="auto" w:fill="auto"/>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35周岁及以下</w:t>
            </w:r>
          </w:p>
        </w:tc>
        <w:tc>
          <w:tcPr>
            <w:tcW w:w="1275" w:type="dxa"/>
            <w:shd w:val="clear" w:color="auto" w:fill="auto"/>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不限</w:t>
            </w:r>
          </w:p>
        </w:tc>
        <w:tc>
          <w:tcPr>
            <w:tcW w:w="1303" w:type="dxa"/>
            <w:shd w:val="clear" w:color="auto" w:fill="auto"/>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本科及以上学历</w:t>
            </w:r>
          </w:p>
        </w:tc>
        <w:tc>
          <w:tcPr>
            <w:tcW w:w="5056" w:type="dxa"/>
            <w:shd w:val="clear" w:color="auto" w:fill="auto"/>
            <w:vAlign w:val="center"/>
          </w:tcPr>
          <w:p>
            <w:pPr>
              <w:widowControl/>
              <w:tabs>
                <w:tab w:val="left" w:pos="312"/>
              </w:tabs>
              <w:textAlignment w:val="center"/>
              <w:rPr>
                <w:rFonts w:ascii="仿宋" w:hAnsi="仿宋" w:eastAsia="仿宋" w:cs="仿宋"/>
                <w:kern w:val="0"/>
                <w:sz w:val="24"/>
                <w:szCs w:val="24"/>
              </w:rPr>
            </w:pPr>
            <w:r>
              <w:rPr>
                <w:rFonts w:hint="eastAsia" w:ascii="仿宋" w:hAnsi="仿宋" w:eastAsia="仿宋" w:cs="仿宋"/>
                <w:kern w:val="0"/>
                <w:sz w:val="24"/>
                <w:szCs w:val="24"/>
              </w:rPr>
              <w:t>1.具有3年及以上基层工作经验，了解净月区区情；</w:t>
            </w:r>
          </w:p>
          <w:p>
            <w:pPr>
              <w:widowControl/>
              <w:tabs>
                <w:tab w:val="left" w:pos="312"/>
              </w:tabs>
              <w:textAlignment w:val="center"/>
              <w:rPr>
                <w:rFonts w:ascii="仿宋" w:hAnsi="仿宋" w:eastAsia="仿宋" w:cs="仿宋"/>
                <w:kern w:val="0"/>
                <w:sz w:val="24"/>
                <w:szCs w:val="24"/>
              </w:rPr>
            </w:pPr>
            <w:r>
              <w:rPr>
                <w:rFonts w:hint="eastAsia" w:ascii="仿宋" w:hAnsi="仿宋" w:eastAsia="仿宋" w:cs="仿宋"/>
                <w:kern w:val="0"/>
                <w:sz w:val="24"/>
                <w:szCs w:val="24"/>
              </w:rPr>
              <w:t>2.工作认真负责，务实肯干，能够熟练使用办公软件；</w:t>
            </w:r>
          </w:p>
          <w:p>
            <w:pPr>
              <w:widowControl/>
              <w:tabs>
                <w:tab w:val="left" w:pos="312"/>
              </w:tabs>
              <w:textAlignment w:val="center"/>
              <w:rPr>
                <w:rFonts w:ascii="仿宋" w:hAnsi="仿宋" w:eastAsia="仿宋" w:cs="仿宋"/>
                <w:kern w:val="0"/>
                <w:sz w:val="24"/>
                <w:szCs w:val="24"/>
              </w:rPr>
            </w:pPr>
            <w:r>
              <w:rPr>
                <w:rFonts w:hint="eastAsia" w:ascii="仿宋" w:hAnsi="仿宋" w:eastAsia="仿宋" w:cs="仿宋"/>
                <w:kern w:val="0"/>
                <w:sz w:val="24"/>
                <w:szCs w:val="24"/>
              </w:rPr>
              <w:t>3.善于沟通协调，熟悉净月区各项工作申报、手续办理等相关工作流程。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710" w:type="dxa"/>
            <w:vAlign w:val="center"/>
          </w:tcPr>
          <w:p>
            <w:pPr>
              <w:adjustRightInd w:val="0"/>
              <w:contextualSpacing/>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8</w:t>
            </w:r>
          </w:p>
        </w:tc>
        <w:tc>
          <w:tcPr>
            <w:tcW w:w="1701" w:type="dxa"/>
            <w:vMerge w:val="restart"/>
            <w:vAlign w:val="center"/>
          </w:tcPr>
          <w:p>
            <w:pPr>
              <w:adjustRightInd w:val="0"/>
              <w:contextualSpacing/>
              <w:jc w:val="center"/>
              <w:rPr>
                <w:rFonts w:ascii="仿宋" w:hAnsi="仿宋" w:eastAsia="仿宋" w:cs="仿宋"/>
                <w:sz w:val="24"/>
                <w:szCs w:val="24"/>
              </w:rPr>
            </w:pPr>
            <w:r>
              <w:rPr>
                <w:rFonts w:hint="eastAsia" w:ascii="仿宋" w:hAnsi="仿宋" w:eastAsia="仿宋" w:cs="仿宋"/>
                <w:sz w:val="24"/>
                <w:szCs w:val="24"/>
              </w:rPr>
              <w:t>长春市净发全过程工程管理有限公司</w:t>
            </w:r>
          </w:p>
          <w:p>
            <w:pPr>
              <w:adjustRightInd w:val="0"/>
              <w:contextualSpacing/>
              <w:jc w:val="center"/>
              <w:rPr>
                <w:rFonts w:ascii="仿宋" w:hAnsi="仿宋" w:eastAsia="仿宋" w:cs="仿宋"/>
                <w:sz w:val="24"/>
                <w:szCs w:val="24"/>
              </w:rPr>
            </w:pPr>
            <w:r>
              <w:rPr>
                <w:rFonts w:hint="eastAsia" w:ascii="仿宋" w:hAnsi="仿宋" w:eastAsia="仿宋" w:cs="仿宋"/>
                <w:sz w:val="24"/>
                <w:szCs w:val="24"/>
              </w:rPr>
              <w:t>（二级子公司）</w:t>
            </w:r>
          </w:p>
        </w:tc>
        <w:tc>
          <w:tcPr>
            <w:tcW w:w="1465" w:type="dxa"/>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业主代表</w:t>
            </w:r>
          </w:p>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（市政类）</w:t>
            </w:r>
          </w:p>
          <w:p>
            <w:pPr>
              <w:widowControl/>
              <w:jc w:val="center"/>
              <w:textAlignment w:val="center"/>
              <w:rPr>
                <w:rFonts w:ascii="仿宋" w:hAnsi="仿宋" w:eastAsia="仿宋" w:cs="仿宋"/>
                <w:kern w:val="0"/>
                <w:sz w:val="24"/>
                <w:szCs w:val="24"/>
              </w:rPr>
            </w:pPr>
          </w:p>
        </w:tc>
        <w:tc>
          <w:tcPr>
            <w:tcW w:w="1228" w:type="dxa"/>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4</w:t>
            </w:r>
          </w:p>
        </w:tc>
        <w:tc>
          <w:tcPr>
            <w:tcW w:w="1276"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45周岁及以下</w:t>
            </w:r>
          </w:p>
        </w:tc>
        <w:tc>
          <w:tcPr>
            <w:tcW w:w="1275"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交通运输类</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（一级学科）</w:t>
            </w:r>
          </w:p>
        </w:tc>
        <w:tc>
          <w:tcPr>
            <w:tcW w:w="1303"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全日制本科及以上学历</w:t>
            </w:r>
          </w:p>
        </w:tc>
        <w:tc>
          <w:tcPr>
            <w:tcW w:w="5056" w:type="dxa"/>
            <w:shd w:val="clear" w:color="auto" w:fill="auto"/>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1.具有8年以上交通运输类工程管理经验；</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2.具有中级及以上技术职称；</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3.持有国家二级及以上建造师职业资格者或持有国家注册监理工程师者优先考虑。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9" w:hRule="atLeast"/>
        </w:trPr>
        <w:tc>
          <w:tcPr>
            <w:tcW w:w="710" w:type="dxa"/>
            <w:vAlign w:val="center"/>
          </w:tcPr>
          <w:p>
            <w:pPr>
              <w:adjustRightInd w:val="0"/>
              <w:contextualSpacing/>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9</w:t>
            </w:r>
          </w:p>
        </w:tc>
        <w:tc>
          <w:tcPr>
            <w:tcW w:w="1701" w:type="dxa"/>
            <w:vMerge w:val="continue"/>
            <w:vAlign w:val="center"/>
          </w:tcPr>
          <w:p>
            <w:pPr>
              <w:adjustRightInd w:val="0"/>
              <w:contextualSpacing/>
              <w:jc w:val="center"/>
              <w:rPr>
                <w:rFonts w:ascii="仿宋" w:hAnsi="仿宋" w:eastAsia="仿宋" w:cs="仿宋"/>
                <w:sz w:val="24"/>
                <w:szCs w:val="24"/>
              </w:rPr>
            </w:pPr>
          </w:p>
        </w:tc>
        <w:tc>
          <w:tcPr>
            <w:tcW w:w="1465" w:type="dxa"/>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业主代表</w:t>
            </w:r>
          </w:p>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（建筑类）</w:t>
            </w:r>
          </w:p>
          <w:p>
            <w:pPr>
              <w:widowControl/>
              <w:jc w:val="center"/>
              <w:textAlignment w:val="center"/>
              <w:rPr>
                <w:rFonts w:ascii="仿宋" w:hAnsi="仿宋" w:eastAsia="仿宋" w:cs="仿宋"/>
                <w:kern w:val="0"/>
                <w:sz w:val="24"/>
                <w:szCs w:val="24"/>
              </w:rPr>
            </w:pPr>
          </w:p>
        </w:tc>
        <w:tc>
          <w:tcPr>
            <w:tcW w:w="1228" w:type="dxa"/>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276" w:type="dxa"/>
            <w:shd w:val="clear" w:color="auto" w:fill="auto"/>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color w:val="000000"/>
                <w:kern w:val="0"/>
                <w:sz w:val="24"/>
                <w:szCs w:val="24"/>
                <w:lang w:bidi="ar"/>
              </w:rPr>
              <w:t>45周岁及以下</w:t>
            </w:r>
          </w:p>
        </w:tc>
        <w:tc>
          <w:tcPr>
            <w:tcW w:w="1275" w:type="dxa"/>
            <w:shd w:val="clear" w:color="auto" w:fill="auto"/>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土木类（一级学科）</w:t>
            </w:r>
          </w:p>
        </w:tc>
        <w:tc>
          <w:tcPr>
            <w:tcW w:w="1303" w:type="dxa"/>
            <w:shd w:val="clear" w:color="auto" w:fill="auto"/>
            <w:vAlign w:val="center"/>
          </w:tcPr>
          <w:p>
            <w:pPr>
              <w:jc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全日制本科及以上学历</w:t>
            </w:r>
          </w:p>
        </w:tc>
        <w:tc>
          <w:tcPr>
            <w:tcW w:w="5056" w:type="dxa"/>
            <w:shd w:val="clear" w:color="auto" w:fill="auto"/>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1.有10年以上土木类工程管理经验；</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2.具有中级及以上技术职称；</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3.持有国家二级及以上建造师职业资格者或持有国家注册监理工程师者优先。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0" w:hRule="atLeast"/>
        </w:trPr>
        <w:tc>
          <w:tcPr>
            <w:tcW w:w="710" w:type="dxa"/>
            <w:vAlign w:val="center"/>
          </w:tcPr>
          <w:p>
            <w:pPr>
              <w:adjustRightInd w:val="0"/>
              <w:contextualSpacing/>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10</w:t>
            </w:r>
          </w:p>
        </w:tc>
        <w:tc>
          <w:tcPr>
            <w:tcW w:w="1701" w:type="dxa"/>
            <w:vMerge w:val="continue"/>
            <w:vAlign w:val="center"/>
          </w:tcPr>
          <w:p>
            <w:pPr>
              <w:adjustRightInd w:val="0"/>
              <w:contextualSpacing/>
              <w:jc w:val="center"/>
              <w:rPr>
                <w:rFonts w:ascii="仿宋" w:hAnsi="仿宋" w:eastAsia="仿宋" w:cs="仿宋"/>
                <w:sz w:val="24"/>
                <w:szCs w:val="24"/>
              </w:rPr>
            </w:pPr>
          </w:p>
        </w:tc>
        <w:tc>
          <w:tcPr>
            <w:tcW w:w="1465" w:type="dxa"/>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资金计划岗</w:t>
            </w:r>
          </w:p>
        </w:tc>
        <w:tc>
          <w:tcPr>
            <w:tcW w:w="1228" w:type="dxa"/>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3</w:t>
            </w:r>
          </w:p>
        </w:tc>
        <w:tc>
          <w:tcPr>
            <w:tcW w:w="1276"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45周岁及以下</w:t>
            </w:r>
          </w:p>
        </w:tc>
        <w:tc>
          <w:tcPr>
            <w:tcW w:w="1275"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土木类（一级学科）、交通运输类（一级学科）</w:t>
            </w:r>
          </w:p>
        </w:tc>
        <w:tc>
          <w:tcPr>
            <w:tcW w:w="1303"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全日制本科及以上学历</w:t>
            </w:r>
          </w:p>
        </w:tc>
        <w:tc>
          <w:tcPr>
            <w:tcW w:w="5056" w:type="dxa"/>
            <w:shd w:val="clear" w:color="auto" w:fill="auto"/>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1.具有5年以上工程管理经验；</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2.具有初级以上技术职称；</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3.持有国家二级及以上建造师职业资格者或持有国家注册监理工程师者优先。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0" w:type="dxa"/>
            <w:vAlign w:val="center"/>
          </w:tcPr>
          <w:p>
            <w:pPr>
              <w:adjustRightInd w:val="0"/>
              <w:contextualSpacing/>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11</w:t>
            </w:r>
          </w:p>
        </w:tc>
        <w:tc>
          <w:tcPr>
            <w:tcW w:w="1701" w:type="dxa"/>
            <w:vMerge w:val="restart"/>
            <w:vAlign w:val="center"/>
          </w:tcPr>
          <w:p>
            <w:pPr>
              <w:adjustRightInd w:val="0"/>
              <w:contextualSpacing/>
              <w:jc w:val="center"/>
              <w:rPr>
                <w:rFonts w:ascii="仿宋" w:hAnsi="仿宋" w:eastAsia="仿宋" w:cs="仿宋"/>
                <w:sz w:val="24"/>
                <w:szCs w:val="24"/>
              </w:rPr>
            </w:pPr>
            <w:r>
              <w:rPr>
                <w:rFonts w:hint="eastAsia" w:ascii="仿宋" w:hAnsi="仿宋" w:eastAsia="仿宋" w:cs="仿宋"/>
                <w:sz w:val="24"/>
                <w:szCs w:val="24"/>
              </w:rPr>
              <w:t>吉林茂禾建设有限公司（二级子公司）</w:t>
            </w:r>
          </w:p>
          <w:p>
            <w:pPr>
              <w:adjustRightInd w:val="0"/>
              <w:contextualSpacing/>
              <w:jc w:val="center"/>
              <w:rPr>
                <w:rFonts w:ascii="仿宋" w:hAnsi="仿宋" w:eastAsia="仿宋" w:cs="仿宋"/>
                <w:sz w:val="24"/>
                <w:szCs w:val="24"/>
              </w:rPr>
            </w:pPr>
          </w:p>
        </w:tc>
        <w:tc>
          <w:tcPr>
            <w:tcW w:w="1465" w:type="dxa"/>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供应管理</w:t>
            </w:r>
          </w:p>
        </w:tc>
        <w:tc>
          <w:tcPr>
            <w:tcW w:w="1228" w:type="dxa"/>
            <w:vAlign w:val="center"/>
          </w:tcPr>
          <w:p>
            <w:pPr>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276"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45周岁及以下</w:t>
            </w:r>
          </w:p>
        </w:tc>
        <w:tc>
          <w:tcPr>
            <w:tcW w:w="1275"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土木类（一级学科）、建筑类（一级学科）</w:t>
            </w:r>
          </w:p>
        </w:tc>
        <w:tc>
          <w:tcPr>
            <w:tcW w:w="1303"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全日制本科及以上学历</w:t>
            </w:r>
          </w:p>
        </w:tc>
        <w:tc>
          <w:tcPr>
            <w:tcW w:w="5056" w:type="dxa"/>
            <w:shd w:val="clear" w:color="auto" w:fill="auto"/>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1.具有材料、设备、分包工程招采经验；</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2.有一定的文字撰写能力；</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3.具有本岗位5年以上工作经验。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9" w:hRule="atLeast"/>
        </w:trPr>
        <w:tc>
          <w:tcPr>
            <w:tcW w:w="710" w:type="dxa"/>
            <w:vAlign w:val="center"/>
          </w:tcPr>
          <w:p>
            <w:pPr>
              <w:adjustRightInd w:val="0"/>
              <w:contextualSpacing/>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12</w:t>
            </w:r>
          </w:p>
        </w:tc>
        <w:tc>
          <w:tcPr>
            <w:tcW w:w="1701" w:type="dxa"/>
            <w:vMerge w:val="continue"/>
            <w:vAlign w:val="center"/>
          </w:tcPr>
          <w:p>
            <w:pPr>
              <w:adjustRightInd w:val="0"/>
              <w:contextualSpacing/>
              <w:jc w:val="center"/>
              <w:rPr>
                <w:rFonts w:ascii="仿宋" w:hAnsi="仿宋" w:eastAsia="仿宋" w:cs="Times New Roman"/>
                <w:sz w:val="24"/>
                <w:szCs w:val="24"/>
              </w:rPr>
            </w:pPr>
          </w:p>
        </w:tc>
        <w:tc>
          <w:tcPr>
            <w:tcW w:w="1465" w:type="dxa"/>
            <w:vAlign w:val="center"/>
          </w:tcPr>
          <w:p>
            <w:pPr>
              <w:widowControl/>
              <w:jc w:val="center"/>
              <w:textAlignment w:val="center"/>
              <w:rPr>
                <w:rFonts w:ascii="仿宋" w:hAnsi="仿宋" w:eastAsia="仿宋"/>
                <w:kern w:val="0"/>
                <w:sz w:val="24"/>
                <w:szCs w:val="24"/>
              </w:rPr>
            </w:pPr>
            <w:r>
              <w:rPr>
                <w:rFonts w:hint="eastAsia" w:ascii="仿宋" w:hAnsi="仿宋" w:eastAsia="仿宋"/>
                <w:kern w:val="0"/>
                <w:sz w:val="24"/>
                <w:szCs w:val="24"/>
              </w:rPr>
              <w:t>材料设备管理</w:t>
            </w:r>
          </w:p>
        </w:tc>
        <w:tc>
          <w:tcPr>
            <w:tcW w:w="1228" w:type="dxa"/>
            <w:vAlign w:val="center"/>
          </w:tcPr>
          <w:p>
            <w:pPr>
              <w:jc w:val="center"/>
              <w:rPr>
                <w:rFonts w:ascii="仿宋" w:hAnsi="仿宋" w:eastAsia="仿宋"/>
                <w:kern w:val="0"/>
                <w:sz w:val="24"/>
                <w:szCs w:val="24"/>
              </w:rPr>
            </w:pPr>
            <w:r>
              <w:rPr>
                <w:rFonts w:hint="eastAsia" w:ascii="仿宋" w:hAnsi="仿宋" w:eastAsia="仿宋"/>
                <w:kern w:val="0"/>
                <w:sz w:val="24"/>
                <w:szCs w:val="24"/>
              </w:rPr>
              <w:t>1</w:t>
            </w:r>
          </w:p>
        </w:tc>
        <w:tc>
          <w:tcPr>
            <w:tcW w:w="1276"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45周岁及以下</w:t>
            </w:r>
          </w:p>
        </w:tc>
        <w:tc>
          <w:tcPr>
            <w:tcW w:w="1275"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不限</w:t>
            </w:r>
          </w:p>
        </w:tc>
        <w:tc>
          <w:tcPr>
            <w:tcW w:w="1303"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全日制本科及以上学历</w:t>
            </w:r>
          </w:p>
        </w:tc>
        <w:tc>
          <w:tcPr>
            <w:tcW w:w="5056" w:type="dxa"/>
            <w:shd w:val="clear" w:color="auto" w:fill="auto"/>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1.从事过施工项目材料采购工作；</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2.从事过施工现场材料管理工作；</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3.具有企业材料设备管理岗位10年以上工作经验。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atLeast"/>
        </w:trPr>
        <w:tc>
          <w:tcPr>
            <w:tcW w:w="710" w:type="dxa"/>
            <w:vAlign w:val="center"/>
          </w:tcPr>
          <w:p>
            <w:pPr>
              <w:adjustRightInd w:val="0"/>
              <w:contextualSpacing/>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rPr>
              <w:t>1</w:t>
            </w:r>
            <w:r>
              <w:rPr>
                <w:rFonts w:hint="eastAsia" w:ascii="仿宋" w:hAnsi="仿宋" w:eastAsia="仿宋" w:cs="Times New Roman"/>
                <w:sz w:val="24"/>
                <w:szCs w:val="24"/>
                <w:lang w:val="en-US" w:eastAsia="zh-CN"/>
              </w:rPr>
              <w:t>3</w:t>
            </w:r>
          </w:p>
        </w:tc>
        <w:tc>
          <w:tcPr>
            <w:tcW w:w="1701" w:type="dxa"/>
            <w:vMerge w:val="continue"/>
            <w:vAlign w:val="center"/>
          </w:tcPr>
          <w:p>
            <w:pPr>
              <w:adjustRightInd w:val="0"/>
              <w:contextualSpacing/>
              <w:jc w:val="center"/>
              <w:rPr>
                <w:rFonts w:ascii="仿宋" w:hAnsi="仿宋" w:eastAsia="仿宋" w:cs="Times New Roman"/>
                <w:sz w:val="24"/>
                <w:szCs w:val="24"/>
              </w:rPr>
            </w:pPr>
          </w:p>
        </w:tc>
        <w:tc>
          <w:tcPr>
            <w:tcW w:w="1465" w:type="dxa"/>
            <w:vAlign w:val="center"/>
          </w:tcPr>
          <w:p>
            <w:pPr>
              <w:widowControl/>
              <w:jc w:val="center"/>
              <w:textAlignment w:val="center"/>
              <w:rPr>
                <w:rFonts w:ascii="仿宋" w:hAnsi="仿宋" w:eastAsia="仿宋"/>
                <w:kern w:val="0"/>
                <w:sz w:val="24"/>
                <w:szCs w:val="24"/>
              </w:rPr>
            </w:pPr>
            <w:r>
              <w:rPr>
                <w:rFonts w:hint="eastAsia" w:ascii="仿宋" w:hAnsi="仿宋" w:eastAsia="仿宋"/>
                <w:kern w:val="0"/>
                <w:sz w:val="24"/>
                <w:szCs w:val="24"/>
              </w:rPr>
              <w:t>生产管理</w:t>
            </w:r>
          </w:p>
        </w:tc>
        <w:tc>
          <w:tcPr>
            <w:tcW w:w="1228" w:type="dxa"/>
            <w:vAlign w:val="center"/>
          </w:tcPr>
          <w:p>
            <w:pPr>
              <w:jc w:val="center"/>
              <w:rPr>
                <w:rFonts w:ascii="仿宋" w:hAnsi="仿宋" w:eastAsia="仿宋"/>
                <w:kern w:val="0"/>
                <w:sz w:val="24"/>
                <w:szCs w:val="24"/>
              </w:rPr>
            </w:pPr>
            <w:r>
              <w:rPr>
                <w:rFonts w:hint="eastAsia" w:ascii="仿宋" w:hAnsi="仿宋" w:eastAsia="仿宋"/>
                <w:kern w:val="0"/>
                <w:sz w:val="24"/>
                <w:szCs w:val="24"/>
              </w:rPr>
              <w:t>1</w:t>
            </w:r>
          </w:p>
        </w:tc>
        <w:tc>
          <w:tcPr>
            <w:tcW w:w="1276"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45周岁及以下</w:t>
            </w:r>
          </w:p>
        </w:tc>
        <w:tc>
          <w:tcPr>
            <w:tcW w:w="1275"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土木类（一级学科）、建筑类（一级学科）</w:t>
            </w:r>
          </w:p>
        </w:tc>
        <w:tc>
          <w:tcPr>
            <w:tcW w:w="1303"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全日制本科及以上学历</w:t>
            </w:r>
          </w:p>
        </w:tc>
        <w:tc>
          <w:tcPr>
            <w:tcW w:w="5056" w:type="dxa"/>
            <w:shd w:val="clear" w:color="auto" w:fill="auto"/>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1.持有二级及以上建造师资格证；</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2.具有企业生产进度管理和劳务管理岗位10年以上工作经验；</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3.有较强的沟通协调能力和工作执行落实能力；有过上级行管部门工作经验或借调工作经验者优先考虑。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trPr>
        <w:tc>
          <w:tcPr>
            <w:tcW w:w="710" w:type="dxa"/>
            <w:tcBorders>
              <w:bottom w:val="single" w:color="auto" w:sz="4" w:space="0"/>
            </w:tcBorders>
            <w:vAlign w:val="center"/>
          </w:tcPr>
          <w:p>
            <w:pPr>
              <w:adjustRightInd w:val="0"/>
              <w:contextualSpacing/>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14</w:t>
            </w:r>
          </w:p>
        </w:tc>
        <w:tc>
          <w:tcPr>
            <w:tcW w:w="1701" w:type="dxa"/>
            <w:vMerge w:val="continue"/>
            <w:tcBorders>
              <w:bottom w:val="single" w:color="auto" w:sz="4" w:space="0"/>
            </w:tcBorders>
            <w:vAlign w:val="center"/>
          </w:tcPr>
          <w:p>
            <w:pPr>
              <w:adjustRightInd w:val="0"/>
              <w:contextualSpacing/>
              <w:jc w:val="center"/>
              <w:rPr>
                <w:rFonts w:ascii="仿宋" w:hAnsi="仿宋" w:eastAsia="仿宋" w:cs="Times New Roman"/>
                <w:sz w:val="24"/>
                <w:szCs w:val="24"/>
              </w:rPr>
            </w:pPr>
          </w:p>
        </w:tc>
        <w:tc>
          <w:tcPr>
            <w:tcW w:w="1465" w:type="dxa"/>
            <w:tcBorders>
              <w:bottom w:val="single" w:color="auto" w:sz="4" w:space="0"/>
            </w:tcBorders>
            <w:vAlign w:val="center"/>
          </w:tcPr>
          <w:p>
            <w:pPr>
              <w:widowControl/>
              <w:jc w:val="center"/>
              <w:textAlignment w:val="center"/>
              <w:rPr>
                <w:rFonts w:ascii="仿宋" w:hAnsi="仿宋" w:eastAsia="仿宋"/>
                <w:kern w:val="0"/>
                <w:sz w:val="24"/>
                <w:szCs w:val="24"/>
              </w:rPr>
            </w:pPr>
            <w:r>
              <w:rPr>
                <w:rFonts w:hint="eastAsia" w:ascii="仿宋" w:hAnsi="仿宋" w:eastAsia="仿宋"/>
                <w:kern w:val="0"/>
                <w:sz w:val="24"/>
                <w:szCs w:val="24"/>
              </w:rPr>
              <w:t>资料员</w:t>
            </w:r>
          </w:p>
        </w:tc>
        <w:tc>
          <w:tcPr>
            <w:tcW w:w="1228" w:type="dxa"/>
            <w:tcBorders>
              <w:bottom w:val="single" w:color="auto" w:sz="4" w:space="0"/>
            </w:tcBorders>
            <w:vAlign w:val="center"/>
          </w:tcPr>
          <w:p>
            <w:pPr>
              <w:jc w:val="center"/>
              <w:rPr>
                <w:rFonts w:ascii="仿宋" w:hAnsi="仿宋" w:eastAsia="仿宋"/>
                <w:kern w:val="0"/>
                <w:sz w:val="24"/>
                <w:szCs w:val="24"/>
              </w:rPr>
            </w:pPr>
            <w:r>
              <w:rPr>
                <w:rFonts w:hint="eastAsia" w:ascii="仿宋" w:hAnsi="仿宋" w:eastAsia="仿宋"/>
                <w:kern w:val="0"/>
                <w:sz w:val="24"/>
                <w:szCs w:val="24"/>
              </w:rPr>
              <w:t>1</w:t>
            </w:r>
          </w:p>
        </w:tc>
        <w:tc>
          <w:tcPr>
            <w:tcW w:w="1276" w:type="dxa"/>
            <w:tcBorders>
              <w:bottom w:val="single" w:color="auto"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35周岁及以下</w:t>
            </w:r>
          </w:p>
        </w:tc>
        <w:tc>
          <w:tcPr>
            <w:tcW w:w="1275" w:type="dxa"/>
            <w:tcBorders>
              <w:bottom w:val="single" w:color="auto"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土木类（一级学科）、建筑类（一级学科）</w:t>
            </w:r>
          </w:p>
        </w:tc>
        <w:tc>
          <w:tcPr>
            <w:tcW w:w="1303" w:type="dxa"/>
            <w:tcBorders>
              <w:bottom w:val="single" w:color="auto" w:sz="4" w:space="0"/>
            </w:tcBorders>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全日制本科及以上学历</w:t>
            </w:r>
          </w:p>
        </w:tc>
        <w:tc>
          <w:tcPr>
            <w:tcW w:w="5056" w:type="dxa"/>
            <w:tcBorders>
              <w:bottom w:val="single" w:color="auto" w:sz="4" w:space="0"/>
            </w:tcBorders>
            <w:shd w:val="clear" w:color="auto" w:fill="auto"/>
            <w:vAlign w:val="center"/>
          </w:tcPr>
          <w:p>
            <w:pPr>
              <w:widowControl/>
              <w:jc w:val="left"/>
              <w:textAlignment w:val="center"/>
              <w:rPr>
                <w:rFonts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1.具有10年及以上建筑行业工作经验；</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2.工作认真负责，敢于坚持原则；</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3.有过上级行管部门工作经验或借调工作经验者优先考虑。</w:t>
            </w:r>
          </w:p>
        </w:tc>
      </w:tr>
    </w:tbl>
    <w:p>
      <w:pPr>
        <w:adjustRightInd w:val="0"/>
        <w:spacing w:line="14" w:lineRule="exact"/>
        <w:ind w:right="1077"/>
        <w:contextualSpacing/>
        <w:jc w:val="left"/>
        <w:rPr>
          <w:rFonts w:ascii="仿宋_GB2312" w:hAnsi="仿宋" w:eastAsia="仿宋_GB2312" w:cs="Times New Roman"/>
          <w:sz w:val="36"/>
          <w:szCs w:val="36"/>
        </w:rPr>
      </w:pPr>
    </w:p>
    <w:sectPr>
      <w:footerReference r:id="rId3" w:type="default"/>
      <w:pgSz w:w="16838" w:h="11906" w:orient="landscape"/>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4097"/>
              <wp:cNvGraphicFramePr/>
              <a:graphic xmlns:a="http://schemas.openxmlformats.org/drawingml/2006/main">
                <a:graphicData uri="http://schemas.microsoft.com/office/word/2010/wordprocessingShape">
                  <wps:wsp>
                    <wps:cNvSpPr/>
                    <wps:spPr>
                      <a:xfrm>
                        <a:off x="0" y="0"/>
                        <a:ext cx="58420" cy="139700"/>
                      </a:xfrm>
                      <a:prstGeom prst="rect">
                        <a:avLst/>
                      </a:prstGeom>
                      <a:noFill/>
                      <a:ln>
                        <a:noFill/>
                      </a:ln>
                    </wps:spPr>
                    <wps:txbx>
                      <w:txbxContent>
                        <w:p>
                          <w:pPr>
                            <w:pStyle w:val="4"/>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rect id="4097" o:spid="_x0000_s1026" o:spt="1"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kcZbZdAA&#10;AAACAQAADwAAAAAAAAABACAAAAAiAAAAZHJzL2Rvd25yZXYueG1sUEsBAhQAFAAAAAgAh07iQJ0n&#10;MWO1AQAAhQMAAA4AAAAAAAAAAQAgAAAAHwEAAGRycy9lMm9Eb2MueG1sUEsFBgAAAAAGAAYAWQEA&#10;AEY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F9C899"/>
    <w:multiLevelType w:val="singleLevel"/>
    <w:tmpl w:val="A2F9C899"/>
    <w:lvl w:ilvl="0" w:tentative="0">
      <w:start w:val="1"/>
      <w:numFmt w:val="decimal"/>
      <w:lvlText w:val="%1."/>
      <w:lvlJc w:val="left"/>
      <w:pPr>
        <w:tabs>
          <w:tab w:val="left" w:pos="312"/>
        </w:tabs>
      </w:pPr>
    </w:lvl>
  </w:abstractNum>
  <w:abstractNum w:abstractNumId="1">
    <w:nsid w:val="0308D9DA"/>
    <w:multiLevelType w:val="singleLevel"/>
    <w:tmpl w:val="0308D9DA"/>
    <w:lvl w:ilvl="0" w:tentative="0">
      <w:start w:val="1"/>
      <w:numFmt w:val="decimal"/>
      <w:lvlText w:val="%1."/>
      <w:lvlJc w:val="left"/>
      <w:pPr>
        <w:tabs>
          <w:tab w:val="left" w:pos="312"/>
        </w:tabs>
      </w:pPr>
    </w:lvl>
  </w:abstractNum>
  <w:abstractNum w:abstractNumId="2">
    <w:nsid w:val="149CDDD0"/>
    <w:multiLevelType w:val="singleLevel"/>
    <w:tmpl w:val="149CDDD0"/>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3YzRmYTU0NmNlMzliNDhlZWJjMmEyNmRjOTdkZjkifQ=="/>
  </w:docVars>
  <w:rsids>
    <w:rsidRoot w:val="00A36EC8"/>
    <w:rsid w:val="00001980"/>
    <w:rsid w:val="00013374"/>
    <w:rsid w:val="0004443E"/>
    <w:rsid w:val="001B742C"/>
    <w:rsid w:val="001D2B3C"/>
    <w:rsid w:val="002429FE"/>
    <w:rsid w:val="00307CE3"/>
    <w:rsid w:val="00333E72"/>
    <w:rsid w:val="0039030E"/>
    <w:rsid w:val="003B36F8"/>
    <w:rsid w:val="00412471"/>
    <w:rsid w:val="005A3CC4"/>
    <w:rsid w:val="005C3A59"/>
    <w:rsid w:val="00692B0F"/>
    <w:rsid w:val="007B4B04"/>
    <w:rsid w:val="007C1129"/>
    <w:rsid w:val="008319A8"/>
    <w:rsid w:val="00855092"/>
    <w:rsid w:val="00882DAA"/>
    <w:rsid w:val="008B3304"/>
    <w:rsid w:val="008E0077"/>
    <w:rsid w:val="008E71AD"/>
    <w:rsid w:val="008F7498"/>
    <w:rsid w:val="00913D65"/>
    <w:rsid w:val="0092121A"/>
    <w:rsid w:val="00961D2F"/>
    <w:rsid w:val="00A36EC8"/>
    <w:rsid w:val="00A4208A"/>
    <w:rsid w:val="00A47479"/>
    <w:rsid w:val="00AE534C"/>
    <w:rsid w:val="00BB2470"/>
    <w:rsid w:val="00BE4B41"/>
    <w:rsid w:val="00C5751B"/>
    <w:rsid w:val="00DF3951"/>
    <w:rsid w:val="00E36962"/>
    <w:rsid w:val="00E82C27"/>
    <w:rsid w:val="00E906CF"/>
    <w:rsid w:val="00EB40CC"/>
    <w:rsid w:val="00ED6D65"/>
    <w:rsid w:val="00F22600"/>
    <w:rsid w:val="00F34154"/>
    <w:rsid w:val="00F50CC0"/>
    <w:rsid w:val="0613624B"/>
    <w:rsid w:val="0AEB360F"/>
    <w:rsid w:val="0B360F7C"/>
    <w:rsid w:val="13052647"/>
    <w:rsid w:val="35427ABF"/>
    <w:rsid w:val="401D124D"/>
    <w:rsid w:val="49EC70A4"/>
    <w:rsid w:val="5175745A"/>
    <w:rsid w:val="57D71B4F"/>
    <w:rsid w:val="661C5BB8"/>
    <w:rsid w:val="67351044"/>
    <w:rsid w:val="69370EC6"/>
    <w:rsid w:val="6A4A0D42"/>
    <w:rsid w:val="709C4AF3"/>
    <w:rsid w:val="774A59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4"/>
    <w:qFormat/>
    <w:uiPriority w:val="99"/>
    <w:pPr>
      <w:ind w:left="100" w:leftChars="2500"/>
    </w:pPr>
  </w:style>
  <w:style w:type="paragraph" w:styleId="3">
    <w:name w:val="Balloon Text"/>
    <w:basedOn w:val="1"/>
    <w:link w:val="13"/>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kern w:val="0"/>
      <w:sz w:val="24"/>
      <w:szCs w:val="24"/>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5"/>
    <w:qFormat/>
    <w:uiPriority w:val="99"/>
    <w:rPr>
      <w:sz w:val="18"/>
      <w:szCs w:val="18"/>
    </w:rPr>
  </w:style>
  <w:style w:type="character" w:customStyle="1" w:styleId="11">
    <w:name w:val="页脚 Char"/>
    <w:basedOn w:val="9"/>
    <w:link w:val="4"/>
    <w:qFormat/>
    <w:uiPriority w:val="99"/>
    <w:rPr>
      <w:sz w:val="18"/>
      <w:szCs w:val="18"/>
    </w:rPr>
  </w:style>
  <w:style w:type="paragraph" w:styleId="12">
    <w:name w:val="List Paragraph"/>
    <w:basedOn w:val="1"/>
    <w:qFormat/>
    <w:uiPriority w:val="99"/>
    <w:pPr>
      <w:ind w:firstLine="420" w:firstLineChars="200"/>
    </w:pPr>
  </w:style>
  <w:style w:type="character" w:customStyle="1" w:styleId="13">
    <w:name w:val="批注框文本 Char"/>
    <w:basedOn w:val="9"/>
    <w:link w:val="3"/>
    <w:qFormat/>
    <w:uiPriority w:val="99"/>
    <w:rPr>
      <w:rFonts w:ascii="Calibri" w:hAnsi="Calibri" w:eastAsia="宋体" w:cs="宋体"/>
      <w:kern w:val="2"/>
      <w:sz w:val="18"/>
      <w:szCs w:val="18"/>
    </w:rPr>
  </w:style>
  <w:style w:type="character" w:customStyle="1" w:styleId="14">
    <w:name w:val="日期 Char"/>
    <w:basedOn w:val="9"/>
    <w:link w:val="2"/>
    <w:qFormat/>
    <w:uiPriority w:val="99"/>
    <w:rPr>
      <w:rFonts w:ascii="Calibri" w:hAnsi="Calibri" w:eastAsia="宋体" w:cs="宋体"/>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26D220-C676-4172-AFBD-0F71F0107676}">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FBC1441399E2428194B6F8113A9887B4_13</vt:lpwstr>
  </property>
</Properties>
</file>